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72" w:rsidRDefault="004B0372" w:rsidP="00E54C3D">
      <w:pPr>
        <w:pStyle w:val="Heading1"/>
        <w:rPr>
          <w:rFonts w:ascii="Arial" w:hAnsi="Arial" w:cs="Arial"/>
          <w:sz w:val="16"/>
          <w:szCs w:val="22"/>
          <w:lang w:val="en-GB"/>
        </w:rPr>
      </w:pPr>
      <w:r>
        <w:rPr>
          <w:rFonts w:ascii="Arial" w:hAnsi="Arial" w:cs="Arial"/>
          <w:sz w:val="16"/>
          <w:szCs w:val="22"/>
          <w:lang w:val="en-GB"/>
        </w:rPr>
        <w:fldChar w:fldCharType="begin"/>
      </w:r>
      <w:r>
        <w:rPr>
          <w:rFonts w:ascii="Arial" w:hAnsi="Arial" w:cs="Arial"/>
          <w:sz w:val="16"/>
          <w:szCs w:val="22"/>
          <w:lang w:val="en-GB"/>
        </w:rPr>
        <w:instrText xml:space="preserve"> HYPERLINK "</w:instrText>
      </w:r>
      <w:r w:rsidRPr="004B0372">
        <w:rPr>
          <w:rFonts w:ascii="Arial" w:hAnsi="Arial" w:cs="Arial"/>
          <w:sz w:val="16"/>
          <w:szCs w:val="22"/>
          <w:lang w:val="en-GB"/>
        </w:rPr>
        <w:instrText>http://www.afro.who.int/en/clusters-a-programmes/dpc/epidemic-a-pandemic-alert-and-response/outbreak-news.html</w:instrText>
      </w:r>
      <w:r>
        <w:rPr>
          <w:rFonts w:ascii="Arial" w:hAnsi="Arial" w:cs="Arial"/>
          <w:sz w:val="16"/>
          <w:szCs w:val="22"/>
          <w:lang w:val="en-GB"/>
        </w:rPr>
        <w:instrText xml:space="preserve">" </w:instrText>
      </w:r>
      <w:r>
        <w:rPr>
          <w:rFonts w:ascii="Arial" w:hAnsi="Arial" w:cs="Arial"/>
          <w:sz w:val="16"/>
          <w:szCs w:val="22"/>
          <w:lang w:val="en-GB"/>
        </w:rPr>
        <w:fldChar w:fldCharType="separate"/>
      </w:r>
      <w:r w:rsidRPr="00C815CA">
        <w:rPr>
          <w:rStyle w:val="Hyperlink"/>
          <w:rFonts w:ascii="Arial" w:hAnsi="Arial" w:cs="Arial"/>
          <w:sz w:val="16"/>
          <w:szCs w:val="22"/>
          <w:lang w:val="en-GB"/>
        </w:rPr>
        <w:t>http://www.afro.who.int/en/clusters-a-programmes/dpc/epidemic-a-pandemic-alert-and-response/outbreak-news.html</w:t>
      </w:r>
      <w:r>
        <w:rPr>
          <w:rFonts w:ascii="Arial" w:hAnsi="Arial" w:cs="Arial"/>
          <w:sz w:val="16"/>
          <w:szCs w:val="22"/>
          <w:lang w:val="en-GB"/>
        </w:rPr>
        <w:fldChar w:fldCharType="end"/>
      </w:r>
    </w:p>
    <w:p w:rsidR="00246AFA" w:rsidRPr="00E54C3D" w:rsidRDefault="00246AFA" w:rsidP="00E54C3D">
      <w:pPr>
        <w:pStyle w:val="Heading1"/>
        <w:rPr>
          <w:rFonts w:ascii="Arial" w:hAnsi="Arial" w:cs="Arial"/>
          <w:sz w:val="16"/>
          <w:szCs w:val="22"/>
          <w:lang w:val="en-GB"/>
        </w:rPr>
      </w:pPr>
    </w:p>
    <w:p w:rsidR="004B0372" w:rsidRPr="004B0372" w:rsidRDefault="004B0372" w:rsidP="004B0372">
      <w:pPr>
        <w:pStyle w:val="Heading1"/>
        <w:rPr>
          <w:rFonts w:ascii="Arial" w:hAnsi="Arial" w:cs="Arial"/>
          <w:sz w:val="22"/>
          <w:szCs w:val="22"/>
          <w:lang w:val="en-GB"/>
        </w:rPr>
      </w:pPr>
      <w:r w:rsidRPr="004B0372">
        <w:rPr>
          <w:rFonts w:ascii="Arial" w:hAnsi="Arial" w:cs="Arial"/>
          <w:sz w:val="22"/>
          <w:szCs w:val="22"/>
          <w:lang w:val="en-GB"/>
        </w:rPr>
        <w:t>Ebola virus disease update, West Africa - update 28 August 2014</w:t>
      </w:r>
    </w:p>
    <w:p w:rsidR="004B0372" w:rsidRPr="004B0372" w:rsidRDefault="004B0372" w:rsidP="004B0372">
      <w:pPr>
        <w:pStyle w:val="NormalWeb"/>
        <w:spacing w:line="360" w:lineRule="auto"/>
        <w:rPr>
          <w:rFonts w:ascii="Arial" w:hAnsi="Arial" w:cs="Arial"/>
          <w:color w:val="333333"/>
          <w:sz w:val="22"/>
          <w:szCs w:val="22"/>
          <w:lang w:val="en-GB"/>
        </w:rPr>
      </w:pPr>
      <w:r w:rsidRPr="004B0372">
        <w:rPr>
          <w:rStyle w:val="Strong"/>
          <w:rFonts w:ascii="Arial" w:hAnsi="Arial" w:cs="Arial"/>
          <w:color w:val="333333"/>
          <w:sz w:val="22"/>
          <w:szCs w:val="22"/>
          <w:lang w:val="en-GB"/>
        </w:rPr>
        <w:t>Epidemiology and surveillance</w:t>
      </w:r>
    </w:p>
    <w:p w:rsidR="004B0372" w:rsidRPr="004B0372" w:rsidRDefault="004B0372" w:rsidP="004B0372">
      <w:pPr>
        <w:numPr>
          <w:ilvl w:val="0"/>
          <w:numId w:val="3"/>
        </w:numPr>
        <w:spacing w:after="0" w:line="432" w:lineRule="auto"/>
        <w:ind w:left="360"/>
        <w:rPr>
          <w:rFonts w:ascii="Arial" w:hAnsi="Arial" w:cs="Arial"/>
          <w:color w:val="333333"/>
          <w:lang w:val="en-GB"/>
        </w:rPr>
      </w:pPr>
      <w:r w:rsidRPr="004B0372">
        <w:rPr>
          <w:rFonts w:ascii="Arial" w:hAnsi="Arial" w:cs="Arial"/>
          <w:color w:val="333333"/>
          <w:lang w:val="en-US"/>
        </w:rPr>
        <w:t xml:space="preserve">The total number of probable and confirmed cases in the current outbreak of Ebola virus disease (EVD) in the four affected countries as reported by the respective Ministries of Health of Guinea, Liberia, Nigeria, and Sierra Leone is 3 069, with 1 552 deaths. </w:t>
      </w:r>
    </w:p>
    <w:p w:rsidR="004B0372" w:rsidRPr="004B0372" w:rsidRDefault="004B0372" w:rsidP="004B0372">
      <w:pPr>
        <w:numPr>
          <w:ilvl w:val="0"/>
          <w:numId w:val="3"/>
        </w:numPr>
        <w:spacing w:after="0" w:line="432" w:lineRule="auto"/>
        <w:ind w:left="360"/>
        <w:rPr>
          <w:rFonts w:ascii="Arial" w:hAnsi="Arial" w:cs="Arial"/>
          <w:color w:val="333333"/>
          <w:lang w:val="en-GB"/>
        </w:rPr>
      </w:pPr>
      <w:r w:rsidRPr="004B0372">
        <w:rPr>
          <w:rFonts w:ascii="Arial" w:hAnsi="Arial" w:cs="Arial"/>
          <w:color w:val="333333"/>
          <w:lang w:val="en-US"/>
        </w:rPr>
        <w:t xml:space="preserve">The outbreak continues to accelerate. More than 40% of the total </w:t>
      </w:r>
      <w:proofErr w:type="gramStart"/>
      <w:r w:rsidRPr="004B0372">
        <w:rPr>
          <w:rFonts w:ascii="Arial" w:hAnsi="Arial" w:cs="Arial"/>
          <w:color w:val="333333"/>
          <w:lang w:val="en-US"/>
        </w:rPr>
        <w:t>number of cases have</w:t>
      </w:r>
      <w:proofErr w:type="gramEnd"/>
      <w:r w:rsidRPr="004B0372">
        <w:rPr>
          <w:rFonts w:ascii="Arial" w:hAnsi="Arial" w:cs="Arial"/>
          <w:color w:val="333333"/>
          <w:lang w:val="en-US"/>
        </w:rPr>
        <w:t xml:space="preserve"> occurred within the past 21 days. However, most cases are concentrated in only a few localities.</w:t>
      </w:r>
    </w:p>
    <w:p w:rsidR="004B0372" w:rsidRPr="004B0372" w:rsidRDefault="004B0372" w:rsidP="004B0372">
      <w:pPr>
        <w:numPr>
          <w:ilvl w:val="0"/>
          <w:numId w:val="3"/>
        </w:numPr>
        <w:spacing w:after="0" w:line="432" w:lineRule="auto"/>
        <w:ind w:left="360"/>
        <w:rPr>
          <w:rFonts w:ascii="Arial" w:hAnsi="Arial" w:cs="Arial"/>
          <w:color w:val="333333"/>
          <w:lang w:val="en-GB"/>
        </w:rPr>
      </w:pPr>
      <w:r w:rsidRPr="004B0372">
        <w:rPr>
          <w:rFonts w:ascii="Arial" w:hAnsi="Arial" w:cs="Arial"/>
          <w:color w:val="333333"/>
          <w:lang w:val="en-US"/>
        </w:rPr>
        <w:t>The overall case fatality rate is 52%. It ranges from 42% in Sierra Leone to 66% in Guinea.</w:t>
      </w:r>
    </w:p>
    <w:p w:rsidR="004B0372" w:rsidRPr="004B0372" w:rsidRDefault="004B0372" w:rsidP="004B0372">
      <w:pPr>
        <w:numPr>
          <w:ilvl w:val="0"/>
          <w:numId w:val="3"/>
        </w:numPr>
        <w:spacing w:after="0" w:line="432" w:lineRule="auto"/>
        <w:ind w:left="360"/>
        <w:rPr>
          <w:rFonts w:ascii="Arial" w:hAnsi="Arial" w:cs="Arial"/>
          <w:color w:val="333333"/>
          <w:lang w:val="en-GB"/>
        </w:rPr>
      </w:pPr>
      <w:r w:rsidRPr="004B0372">
        <w:rPr>
          <w:rFonts w:ascii="Arial" w:hAnsi="Arial" w:cs="Arial"/>
          <w:color w:val="333333"/>
          <w:lang w:val="en-US"/>
        </w:rPr>
        <w:t xml:space="preserve">A separate outbreak of Ebola virus disease, which is not related to the outbreak in West Africa, was laboratory-confirmed on 26 August by the Democratic Republic of Congo (DRC) and is detailed in a separate edition of the Disease Outbreak News: </w:t>
      </w:r>
      <w:hyperlink r:id="rId5" w:history="1">
        <w:r w:rsidRPr="004B0372">
          <w:rPr>
            <w:rStyle w:val="Hyperlink"/>
            <w:rFonts w:ascii="Arial" w:hAnsi="Arial" w:cs="Arial"/>
            <w:lang w:val="en-GB"/>
          </w:rPr>
          <w:t>Disease Outbreak News: Ebola virus disease in Democratic Republic of Congo</w:t>
        </w:r>
      </w:hyperlink>
    </w:p>
    <w:p w:rsidR="004B0372" w:rsidRPr="004B0372" w:rsidRDefault="004B0372" w:rsidP="004B0372">
      <w:pPr>
        <w:pStyle w:val="NormalWeb"/>
        <w:spacing w:line="360" w:lineRule="auto"/>
        <w:rPr>
          <w:rFonts w:ascii="Arial" w:hAnsi="Arial" w:cs="Arial"/>
          <w:color w:val="333333"/>
          <w:sz w:val="22"/>
          <w:szCs w:val="22"/>
          <w:lang w:val="en-GB"/>
        </w:rPr>
      </w:pPr>
      <w:r w:rsidRPr="004B0372">
        <w:rPr>
          <w:rStyle w:val="Strong"/>
          <w:rFonts w:ascii="Arial" w:hAnsi="Arial" w:cs="Arial"/>
          <w:color w:val="333333"/>
          <w:sz w:val="22"/>
          <w:szCs w:val="22"/>
          <w:lang w:val="en-GB"/>
        </w:rPr>
        <w:t>Health sector response</w:t>
      </w:r>
    </w:p>
    <w:p w:rsidR="004B0372" w:rsidRPr="004B0372" w:rsidRDefault="004B0372" w:rsidP="004B0372">
      <w:pPr>
        <w:pStyle w:val="NormalWeb"/>
        <w:spacing w:line="360" w:lineRule="auto"/>
        <w:rPr>
          <w:rFonts w:ascii="Arial" w:hAnsi="Arial" w:cs="Arial"/>
          <w:color w:val="333333"/>
          <w:sz w:val="22"/>
          <w:szCs w:val="22"/>
          <w:lang w:val="en-GB"/>
        </w:rPr>
      </w:pPr>
      <w:r w:rsidRPr="004B0372">
        <w:rPr>
          <w:rFonts w:ascii="Arial" w:hAnsi="Arial" w:cs="Arial"/>
          <w:color w:val="333333"/>
          <w:sz w:val="22"/>
          <w:szCs w:val="22"/>
          <w:lang w:val="en-US"/>
        </w:rPr>
        <w:t xml:space="preserve">A full understanding of the outbreak that will lead to improved response requires detailed analysis of exactly where transmission is occurring (by district level) and of time trends. This analysis is ongoing. Preliminary results show that cases are still concentrated (62% of all reported cases since the beginning of the outbreak) in the </w:t>
      </w:r>
      <w:proofErr w:type="spellStart"/>
      <w:r w:rsidRPr="004B0372">
        <w:rPr>
          <w:rFonts w:ascii="Arial" w:hAnsi="Arial" w:cs="Arial"/>
          <w:color w:val="333333"/>
          <w:sz w:val="22"/>
          <w:szCs w:val="22"/>
          <w:lang w:val="en-US"/>
        </w:rPr>
        <w:t>epicentre</w:t>
      </w:r>
      <w:proofErr w:type="spellEnd"/>
      <w:r w:rsidRPr="004B0372">
        <w:rPr>
          <w:rFonts w:ascii="Arial" w:hAnsi="Arial" w:cs="Arial"/>
          <w:color w:val="333333"/>
          <w:sz w:val="22"/>
          <w:szCs w:val="22"/>
          <w:lang w:val="en-US"/>
        </w:rPr>
        <w:t xml:space="preserve"> of the outbreak in </w:t>
      </w:r>
      <w:proofErr w:type="spellStart"/>
      <w:r w:rsidRPr="004B0372">
        <w:rPr>
          <w:rFonts w:ascii="Arial" w:hAnsi="Arial" w:cs="Arial"/>
          <w:color w:val="333333"/>
          <w:sz w:val="22"/>
          <w:szCs w:val="22"/>
          <w:lang w:val="en-US"/>
        </w:rPr>
        <w:t>Gueckedou</w:t>
      </w:r>
      <w:proofErr w:type="spellEnd"/>
      <w:r w:rsidRPr="004B0372">
        <w:rPr>
          <w:rFonts w:ascii="Arial" w:hAnsi="Arial" w:cs="Arial"/>
          <w:color w:val="333333"/>
          <w:sz w:val="22"/>
          <w:szCs w:val="22"/>
          <w:lang w:val="en-US"/>
        </w:rPr>
        <w:t xml:space="preserve"> (Guinea); </w:t>
      </w:r>
      <w:proofErr w:type="spellStart"/>
      <w:r w:rsidRPr="004B0372">
        <w:rPr>
          <w:rFonts w:ascii="Arial" w:hAnsi="Arial" w:cs="Arial"/>
          <w:color w:val="333333"/>
          <w:sz w:val="22"/>
          <w:szCs w:val="22"/>
          <w:lang w:val="en-US"/>
        </w:rPr>
        <w:t>Lofa</w:t>
      </w:r>
      <w:proofErr w:type="spellEnd"/>
      <w:r w:rsidRPr="004B0372">
        <w:rPr>
          <w:rFonts w:ascii="Arial" w:hAnsi="Arial" w:cs="Arial"/>
          <w:color w:val="333333"/>
          <w:sz w:val="22"/>
          <w:szCs w:val="22"/>
          <w:lang w:val="en-US"/>
        </w:rPr>
        <w:t xml:space="preserve"> (Liberia), where cases continue to rise; and </w:t>
      </w:r>
      <w:proofErr w:type="spellStart"/>
      <w:r w:rsidRPr="004B0372">
        <w:rPr>
          <w:rFonts w:ascii="Arial" w:hAnsi="Arial" w:cs="Arial"/>
          <w:color w:val="333333"/>
          <w:sz w:val="22"/>
          <w:szCs w:val="22"/>
          <w:lang w:val="en-US"/>
        </w:rPr>
        <w:t>Kenema</w:t>
      </w:r>
      <w:proofErr w:type="spellEnd"/>
      <w:r w:rsidRPr="004B0372">
        <w:rPr>
          <w:rFonts w:ascii="Arial" w:hAnsi="Arial" w:cs="Arial"/>
          <w:color w:val="333333"/>
          <w:sz w:val="22"/>
          <w:szCs w:val="22"/>
          <w:lang w:val="en-US"/>
        </w:rPr>
        <w:t xml:space="preserve"> and </w:t>
      </w:r>
      <w:proofErr w:type="spellStart"/>
      <w:r w:rsidRPr="004B0372">
        <w:rPr>
          <w:rFonts w:ascii="Arial" w:hAnsi="Arial" w:cs="Arial"/>
          <w:color w:val="333333"/>
          <w:sz w:val="22"/>
          <w:szCs w:val="22"/>
          <w:lang w:val="en-US"/>
        </w:rPr>
        <w:t>Kailahun</w:t>
      </w:r>
      <w:proofErr w:type="spellEnd"/>
      <w:r w:rsidRPr="004B0372">
        <w:rPr>
          <w:rFonts w:ascii="Arial" w:hAnsi="Arial" w:cs="Arial"/>
          <w:color w:val="333333"/>
          <w:sz w:val="22"/>
          <w:szCs w:val="22"/>
          <w:lang w:val="en-US"/>
        </w:rPr>
        <w:t xml:space="preserve"> (Sierra Leone). Capital cities are of particular concern, owing to their population density and repercussions for travel and trade. </w:t>
      </w:r>
    </w:p>
    <w:p w:rsidR="004B0372" w:rsidRPr="004B0372" w:rsidRDefault="004B0372" w:rsidP="004B0372">
      <w:pPr>
        <w:pStyle w:val="NormalWeb"/>
        <w:spacing w:line="360" w:lineRule="auto"/>
        <w:rPr>
          <w:rFonts w:ascii="Arial" w:hAnsi="Arial" w:cs="Arial"/>
          <w:color w:val="333333"/>
          <w:sz w:val="22"/>
          <w:szCs w:val="22"/>
          <w:lang w:val="en-GB"/>
        </w:rPr>
      </w:pPr>
      <w:proofErr w:type="gramStart"/>
      <w:r w:rsidRPr="004B0372">
        <w:rPr>
          <w:rFonts w:ascii="Arial" w:hAnsi="Arial" w:cs="Arial"/>
          <w:color w:val="333333"/>
          <w:sz w:val="22"/>
          <w:szCs w:val="22"/>
          <w:lang w:val="en-GB"/>
        </w:rPr>
        <w:t>WHO and its partners are on the ground establishing Ebola treatment centres and strengthening capacity for laboratory testing, contact tracing, social mobilization, safe burials, and non-Ebola health care.</w:t>
      </w:r>
      <w:proofErr w:type="gramEnd"/>
    </w:p>
    <w:p w:rsidR="004B0372" w:rsidRPr="004B0372" w:rsidRDefault="004B0372" w:rsidP="004B0372">
      <w:pPr>
        <w:pStyle w:val="NormalWeb"/>
        <w:spacing w:line="360" w:lineRule="auto"/>
        <w:rPr>
          <w:rFonts w:ascii="Arial" w:hAnsi="Arial" w:cs="Arial"/>
          <w:color w:val="333333"/>
          <w:sz w:val="22"/>
          <w:szCs w:val="22"/>
          <w:lang w:val="en-GB"/>
        </w:rPr>
      </w:pPr>
      <w:r w:rsidRPr="004B0372">
        <w:rPr>
          <w:rFonts w:ascii="Arial" w:hAnsi="Arial" w:cs="Arial"/>
          <w:color w:val="333333"/>
          <w:sz w:val="22"/>
          <w:szCs w:val="22"/>
          <w:lang w:val="en-GB"/>
        </w:rPr>
        <w:t xml:space="preserve">WHO continues to monitor for reports of rumoured or suspected cases from countries around the world and systematic verification of these cases is ongoing. Countries are encouraged to continue engaging in active surveillance and preparedness activities. Cases of EVD have been reported from the Democratic Republic of Congo. The cases in DRC are not related to </w:t>
      </w:r>
      <w:r w:rsidRPr="004B0372">
        <w:rPr>
          <w:rFonts w:ascii="Arial" w:hAnsi="Arial" w:cs="Arial"/>
          <w:color w:val="333333"/>
          <w:sz w:val="22"/>
          <w:szCs w:val="22"/>
          <w:lang w:val="en-GB"/>
        </w:rPr>
        <w:lastRenderedPageBreak/>
        <w:t>the outbreak in West Africa. Outside of the four affected countries in West Africa and DRC, no new cases have been confirmed in other countries.</w:t>
      </w:r>
    </w:p>
    <w:p w:rsidR="004B0372" w:rsidRPr="004B0372" w:rsidRDefault="004B0372" w:rsidP="004B0372">
      <w:pPr>
        <w:pStyle w:val="NormalWeb"/>
        <w:spacing w:line="360" w:lineRule="auto"/>
        <w:rPr>
          <w:rFonts w:ascii="Arial" w:hAnsi="Arial" w:cs="Arial"/>
          <w:color w:val="333333"/>
          <w:sz w:val="22"/>
          <w:szCs w:val="22"/>
          <w:lang w:val="en-GB"/>
        </w:rPr>
      </w:pPr>
      <w:r w:rsidRPr="004B0372">
        <w:rPr>
          <w:rFonts w:ascii="Arial" w:hAnsi="Arial" w:cs="Arial"/>
          <w:color w:val="333333"/>
          <w:sz w:val="22"/>
          <w:szCs w:val="22"/>
          <w:lang w:val="en-GB"/>
        </w:rPr>
        <w:t xml:space="preserve">WHO does not recommend any travel or trade restrictions </w:t>
      </w:r>
      <w:proofErr w:type="gramStart"/>
      <w:r w:rsidRPr="004B0372">
        <w:rPr>
          <w:rFonts w:ascii="Arial" w:hAnsi="Arial" w:cs="Arial"/>
          <w:color w:val="333333"/>
          <w:sz w:val="22"/>
          <w:szCs w:val="22"/>
          <w:lang w:val="en-GB"/>
        </w:rPr>
        <w:t>be</w:t>
      </w:r>
      <w:proofErr w:type="gramEnd"/>
      <w:r w:rsidRPr="004B0372">
        <w:rPr>
          <w:rFonts w:ascii="Arial" w:hAnsi="Arial" w:cs="Arial"/>
          <w:color w:val="333333"/>
          <w:sz w:val="22"/>
          <w:szCs w:val="22"/>
          <w:lang w:val="en-GB"/>
        </w:rPr>
        <w:t xml:space="preserve"> applied except in cases where individuals have been confirmed or are suspected of being infected with EVD or where individuals have had contact with cases of EVD. (Contacts do not include properly-protected health-care workers and laboratory staff.) Temporary recommendations from the Emergency Committee with regard to actions to be taken by countries can be found at: </w:t>
      </w:r>
      <w:hyperlink r:id="rId6" w:tgtFrame="_blank" w:history="1">
        <w:r w:rsidRPr="004B0372">
          <w:rPr>
            <w:rStyle w:val="Hyperlink"/>
            <w:rFonts w:ascii="Arial" w:hAnsi="Arial" w:cs="Arial"/>
            <w:sz w:val="22"/>
            <w:szCs w:val="22"/>
            <w:lang w:val="en-GB"/>
          </w:rPr>
          <w:t xml:space="preserve">IHR Emergency Committee on Ebola outbreak in </w:t>
        </w:r>
        <w:proofErr w:type="gramStart"/>
        <w:r w:rsidRPr="004B0372">
          <w:rPr>
            <w:rStyle w:val="Hyperlink"/>
            <w:rFonts w:ascii="Arial" w:hAnsi="Arial" w:cs="Arial"/>
            <w:sz w:val="22"/>
            <w:szCs w:val="22"/>
            <w:lang w:val="en-GB"/>
          </w:rPr>
          <w:t>west</w:t>
        </w:r>
        <w:proofErr w:type="gramEnd"/>
        <w:r w:rsidRPr="004B0372">
          <w:rPr>
            <w:rStyle w:val="Hyperlink"/>
            <w:rFonts w:ascii="Arial" w:hAnsi="Arial" w:cs="Arial"/>
            <w:sz w:val="22"/>
            <w:szCs w:val="22"/>
            <w:lang w:val="en-GB"/>
          </w:rPr>
          <w:t xml:space="preserve"> Africa</w:t>
        </w:r>
      </w:hyperlink>
    </w:p>
    <w:p w:rsidR="004B0372" w:rsidRPr="004B0372" w:rsidRDefault="004B0372" w:rsidP="004B0372">
      <w:pPr>
        <w:pStyle w:val="NormalWeb"/>
        <w:spacing w:line="360" w:lineRule="auto"/>
        <w:rPr>
          <w:rFonts w:ascii="Arial" w:hAnsi="Arial" w:cs="Arial"/>
          <w:color w:val="333333"/>
          <w:sz w:val="22"/>
          <w:szCs w:val="22"/>
          <w:lang w:val="en-GB"/>
        </w:rPr>
      </w:pPr>
      <w:r w:rsidRPr="004B0372">
        <w:rPr>
          <w:rStyle w:val="Strong"/>
          <w:rFonts w:ascii="Arial" w:hAnsi="Arial" w:cs="Arial"/>
          <w:color w:val="333333"/>
          <w:sz w:val="22"/>
          <w:szCs w:val="22"/>
          <w:lang w:val="en-GB"/>
        </w:rPr>
        <w:t>Disease update</w:t>
      </w:r>
    </w:p>
    <w:p w:rsidR="004B0372" w:rsidRPr="004B0372" w:rsidRDefault="004B0372" w:rsidP="004B0372">
      <w:pPr>
        <w:pStyle w:val="NormalWeb"/>
        <w:spacing w:line="360" w:lineRule="auto"/>
        <w:rPr>
          <w:rFonts w:ascii="Arial" w:hAnsi="Arial" w:cs="Arial"/>
          <w:color w:val="333333"/>
          <w:sz w:val="22"/>
          <w:szCs w:val="22"/>
          <w:lang w:val="en-GB"/>
        </w:rPr>
      </w:pPr>
      <w:r w:rsidRPr="004B0372">
        <w:rPr>
          <w:rFonts w:ascii="Arial" w:hAnsi="Arial" w:cs="Arial"/>
          <w:color w:val="333333"/>
          <w:sz w:val="22"/>
          <w:szCs w:val="22"/>
          <w:lang w:val="en-GB"/>
        </w:rPr>
        <w:t>As of 26 August 2014, the cumulative number of cases attributed to EVD in the four countries stands at 3 069, including 1 552 deaths. The distribution and classification of the cases are as follows: Guinea, 647 cases (482 confirmed, 141 probable, and 25 suspected), including 430 deaths; Liberia, 1 378 cases (322 confirmed, 674 probable, and 382 suspected), including 694 deaths; Nigeria, 17 cases (13 confirmed, 1 probable, and 3 suspected), including 6 deaths; and Sierra Leone, 1 026 cases (935 confirmed, 37 probable, and 54 suspected), including 422 deaths.</w:t>
      </w:r>
    </w:p>
    <w:p w:rsidR="004B0372" w:rsidRPr="004B0372" w:rsidRDefault="004B0372" w:rsidP="004B0372">
      <w:pPr>
        <w:pStyle w:val="NormalWeb"/>
        <w:spacing w:line="360" w:lineRule="auto"/>
        <w:rPr>
          <w:rFonts w:ascii="Arial" w:hAnsi="Arial" w:cs="Arial"/>
          <w:color w:val="333333"/>
          <w:sz w:val="22"/>
          <w:szCs w:val="22"/>
          <w:lang w:val="en-GB"/>
        </w:rPr>
      </w:pPr>
      <w:r w:rsidRPr="004B0372">
        <w:rPr>
          <w:rStyle w:val="Strong"/>
          <w:rFonts w:ascii="Arial" w:hAnsi="Arial" w:cs="Arial"/>
          <w:color w:val="333333"/>
          <w:sz w:val="22"/>
          <w:szCs w:val="22"/>
          <w:lang w:val="en-GB"/>
        </w:rPr>
        <w:t>Confirmed, probable, and suspect cases and deaths from Ebola virus disease in Guinea, Liberia, Nigeria, and Sierra Leone</w:t>
      </w:r>
    </w:p>
    <w:tbl>
      <w:tblPr>
        <w:tblW w:w="64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1393"/>
        <w:gridCol w:w="1160"/>
        <w:gridCol w:w="1002"/>
        <w:gridCol w:w="916"/>
        <w:gridCol w:w="1976"/>
      </w:tblGrid>
      <w:tr w:rsidR="004B0372" w:rsidRPr="004B0372" w:rsidTr="004B0372">
        <w:tc>
          <w:tcPr>
            <w:tcW w:w="0" w:type="auto"/>
            <w:shd w:val="clear" w:color="auto" w:fill="C0C0C0"/>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C0C0C0"/>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roofErr w:type="spellStart"/>
            <w:r w:rsidRPr="004B0372">
              <w:rPr>
                <w:rStyle w:val="Strong"/>
                <w:rFonts w:ascii="Arial" w:hAnsi="Arial" w:cs="Arial"/>
                <w:color w:val="333333"/>
              </w:rPr>
              <w:t>Confirmed</w:t>
            </w:r>
            <w:proofErr w:type="spellEnd"/>
          </w:p>
        </w:tc>
        <w:tc>
          <w:tcPr>
            <w:tcW w:w="0" w:type="auto"/>
            <w:shd w:val="clear" w:color="auto" w:fill="C0C0C0"/>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roofErr w:type="spellStart"/>
            <w:r w:rsidRPr="004B0372">
              <w:rPr>
                <w:rStyle w:val="Strong"/>
                <w:rFonts w:ascii="Arial" w:hAnsi="Arial" w:cs="Arial"/>
                <w:color w:val="333333"/>
              </w:rPr>
              <w:t>Probable</w:t>
            </w:r>
            <w:proofErr w:type="spellEnd"/>
          </w:p>
        </w:tc>
        <w:tc>
          <w:tcPr>
            <w:tcW w:w="0" w:type="auto"/>
            <w:shd w:val="clear" w:color="auto" w:fill="C0C0C0"/>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roofErr w:type="spellStart"/>
            <w:r w:rsidRPr="004B0372">
              <w:rPr>
                <w:rStyle w:val="Strong"/>
                <w:rFonts w:ascii="Arial" w:hAnsi="Arial" w:cs="Arial"/>
                <w:color w:val="333333"/>
              </w:rPr>
              <w:t>Suspect</w:t>
            </w:r>
            <w:proofErr w:type="spellEnd"/>
          </w:p>
        </w:tc>
        <w:tc>
          <w:tcPr>
            <w:tcW w:w="1968" w:type="dxa"/>
            <w:shd w:val="clear" w:color="auto" w:fill="C0C0C0"/>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roofErr w:type="spellStart"/>
            <w:r w:rsidRPr="004B0372">
              <w:rPr>
                <w:rStyle w:val="Strong"/>
                <w:rFonts w:ascii="Arial" w:hAnsi="Arial" w:cs="Arial"/>
                <w:color w:val="333333"/>
              </w:rPr>
              <w:t>Totals</w:t>
            </w:r>
            <w:proofErr w:type="spellEnd"/>
            <w:r w:rsidRPr="004B0372">
              <w:rPr>
                <w:rStyle w:val="Strong"/>
                <w:rFonts w:ascii="Arial" w:hAnsi="Arial" w:cs="Arial"/>
                <w:color w:val="333333"/>
              </w:rPr>
              <w:t xml:space="preserve"> </w:t>
            </w:r>
            <w:r w:rsidRPr="004B0372">
              <w:rPr>
                <w:rFonts w:ascii="Arial" w:hAnsi="Arial" w:cs="Arial"/>
                <w:color w:val="333333"/>
              </w:rPr>
              <w:br/>
            </w:r>
            <w:r w:rsidRPr="004B0372">
              <w:rPr>
                <w:rStyle w:val="Strong"/>
                <w:rFonts w:ascii="Arial" w:hAnsi="Arial" w:cs="Arial"/>
                <w:color w:val="333333"/>
              </w:rPr>
              <w:t>(</w:t>
            </w:r>
            <w:proofErr w:type="spellStart"/>
            <w:r w:rsidRPr="004B0372">
              <w:rPr>
                <w:rStyle w:val="Strong"/>
                <w:rFonts w:ascii="Arial" w:hAnsi="Arial" w:cs="Arial"/>
                <w:color w:val="333333"/>
              </w:rPr>
              <w:t>by</w:t>
            </w:r>
            <w:proofErr w:type="spellEnd"/>
            <w:r w:rsidRPr="004B0372">
              <w:rPr>
                <w:rStyle w:val="Strong"/>
                <w:rFonts w:ascii="Arial" w:hAnsi="Arial" w:cs="Arial"/>
                <w:color w:val="333333"/>
              </w:rPr>
              <w:t xml:space="preserve"> </w:t>
            </w:r>
            <w:proofErr w:type="spellStart"/>
            <w:r w:rsidRPr="004B0372">
              <w:rPr>
                <w:rStyle w:val="Strong"/>
                <w:rFonts w:ascii="Arial" w:hAnsi="Arial" w:cs="Arial"/>
                <w:color w:val="333333"/>
              </w:rPr>
              <w:t>Country</w:t>
            </w:r>
            <w:proofErr w:type="spellEnd"/>
            <w:r w:rsidRPr="004B0372">
              <w:rPr>
                <w:rStyle w:val="Strong"/>
                <w:rFonts w:ascii="Arial" w:hAnsi="Arial" w:cs="Arial"/>
                <w:color w:val="333333"/>
              </w:rPr>
              <w:t>)</w:t>
            </w:r>
          </w:p>
        </w:tc>
      </w:tr>
      <w:tr w:rsidR="004B0372" w:rsidRPr="004B0372" w:rsidTr="004B0372">
        <w:tc>
          <w:tcPr>
            <w:tcW w:w="0" w:type="auto"/>
            <w:shd w:val="clear" w:color="auto" w:fill="E6E6FA"/>
            <w:noWrap/>
            <w:tcMar>
              <w:top w:w="0" w:type="dxa"/>
              <w:left w:w="60" w:type="dxa"/>
              <w:bottom w:w="48" w:type="dxa"/>
              <w:right w:w="0" w:type="dxa"/>
            </w:tcMar>
            <w:hideMark/>
          </w:tcPr>
          <w:p w:rsidR="004B0372" w:rsidRPr="004B0372" w:rsidRDefault="004B0372" w:rsidP="004B0372">
            <w:pPr>
              <w:spacing w:line="360" w:lineRule="auto"/>
              <w:jc w:val="center"/>
              <w:rPr>
                <w:rFonts w:ascii="Arial" w:hAnsi="Arial" w:cs="Arial"/>
                <w:color w:val="333333"/>
              </w:rPr>
            </w:pPr>
            <w:proofErr w:type="spellStart"/>
            <w:r w:rsidRPr="004B0372">
              <w:rPr>
                <w:rStyle w:val="Strong"/>
                <w:rFonts w:ascii="Arial" w:hAnsi="Arial" w:cs="Arial"/>
                <w:color w:val="333333"/>
              </w:rPr>
              <w:t>Guinea</w:t>
            </w:r>
            <w:proofErr w:type="spellEnd"/>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1968" w:type="dxa"/>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Cases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482</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141</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25</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648</w:t>
            </w: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Deaths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287</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141</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2</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430</w:t>
            </w:r>
          </w:p>
        </w:tc>
      </w:tr>
      <w:tr w:rsidR="004B0372" w:rsidRPr="004B0372" w:rsidTr="004B0372">
        <w:tc>
          <w:tcPr>
            <w:tcW w:w="0" w:type="auto"/>
            <w:shd w:val="clear" w:color="auto" w:fill="E6E6FA"/>
            <w:noWrap/>
            <w:tcMar>
              <w:top w:w="0" w:type="dxa"/>
              <w:left w:w="60" w:type="dxa"/>
              <w:bottom w:w="48" w:type="dxa"/>
              <w:right w:w="0" w:type="dxa"/>
            </w:tcMar>
            <w:hideMark/>
          </w:tcPr>
          <w:p w:rsidR="004B0372" w:rsidRPr="004B0372" w:rsidRDefault="004B0372" w:rsidP="004B0372">
            <w:pPr>
              <w:spacing w:line="360" w:lineRule="auto"/>
              <w:jc w:val="center"/>
              <w:rPr>
                <w:rFonts w:ascii="Arial" w:hAnsi="Arial" w:cs="Arial"/>
                <w:color w:val="333333"/>
              </w:rPr>
            </w:pPr>
            <w:proofErr w:type="spellStart"/>
            <w:r w:rsidRPr="004B0372">
              <w:rPr>
                <w:rStyle w:val="Strong"/>
                <w:rFonts w:ascii="Arial" w:hAnsi="Arial" w:cs="Arial"/>
                <w:color w:val="333333"/>
              </w:rPr>
              <w:t>Liberia</w:t>
            </w:r>
            <w:proofErr w:type="spellEnd"/>
            <w:r w:rsidRPr="004B0372">
              <w:rPr>
                <w:rStyle w:val="Strong"/>
                <w:rFonts w:ascii="Arial" w:hAnsi="Arial" w:cs="Arial"/>
                <w:color w:val="333333"/>
              </w:rPr>
              <w:t xml:space="preserve"> </w:t>
            </w: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1968" w:type="dxa"/>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Cases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322</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674</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382</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1 378</w:t>
            </w: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Deaths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225</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301</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168</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694</w:t>
            </w:r>
          </w:p>
        </w:tc>
      </w:tr>
      <w:tr w:rsidR="004B0372" w:rsidRPr="004B0372" w:rsidTr="004B0372">
        <w:tc>
          <w:tcPr>
            <w:tcW w:w="0" w:type="auto"/>
            <w:shd w:val="clear" w:color="auto" w:fill="E6E6FA"/>
            <w:noWrap/>
            <w:tcMar>
              <w:top w:w="0" w:type="dxa"/>
              <w:left w:w="60" w:type="dxa"/>
              <w:bottom w:w="48" w:type="dxa"/>
              <w:right w:w="0" w:type="dxa"/>
            </w:tcMar>
            <w:hideMark/>
          </w:tcPr>
          <w:p w:rsidR="004B0372" w:rsidRPr="004B0372" w:rsidRDefault="004B0372" w:rsidP="004B0372">
            <w:pPr>
              <w:spacing w:line="360" w:lineRule="auto"/>
              <w:jc w:val="center"/>
              <w:rPr>
                <w:rFonts w:ascii="Arial" w:hAnsi="Arial" w:cs="Arial"/>
                <w:color w:val="333333"/>
              </w:rPr>
            </w:pPr>
            <w:proofErr w:type="spellStart"/>
            <w:r w:rsidRPr="004B0372">
              <w:rPr>
                <w:rStyle w:val="Strong"/>
                <w:rFonts w:ascii="Arial" w:hAnsi="Arial" w:cs="Arial"/>
                <w:color w:val="333333"/>
              </w:rPr>
              <w:t>Nigeria</w:t>
            </w:r>
            <w:proofErr w:type="spellEnd"/>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1968" w:type="dxa"/>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lastRenderedPageBreak/>
              <w:t>Cases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13</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17</w:t>
            </w: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Deaths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5</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0</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6</w:t>
            </w:r>
          </w:p>
        </w:tc>
      </w:tr>
      <w:tr w:rsidR="004B0372" w:rsidRPr="004B0372" w:rsidTr="004B0372">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Style w:val="Strong"/>
                <w:rFonts w:ascii="Arial" w:hAnsi="Arial" w:cs="Arial"/>
                <w:color w:val="333333"/>
              </w:rPr>
              <w:t>Sierra Leone</w:t>
            </w: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1968" w:type="dxa"/>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Cases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935</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37</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54</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1 026</w:t>
            </w: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Deaths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380</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34</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8</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422</w:t>
            </w:r>
          </w:p>
        </w:tc>
      </w:tr>
      <w:tr w:rsidR="004B0372" w:rsidRPr="004B0372" w:rsidTr="004B0372">
        <w:tc>
          <w:tcPr>
            <w:tcW w:w="0" w:type="auto"/>
            <w:shd w:val="clear" w:color="auto" w:fill="E6E6FA"/>
            <w:noWrap/>
            <w:tcMar>
              <w:top w:w="0" w:type="dxa"/>
              <w:left w:w="60" w:type="dxa"/>
              <w:bottom w:w="48" w:type="dxa"/>
              <w:right w:w="0" w:type="dxa"/>
            </w:tcMar>
            <w:hideMark/>
          </w:tcPr>
          <w:p w:rsidR="004B0372" w:rsidRPr="004B0372" w:rsidRDefault="004B0372" w:rsidP="004B0372">
            <w:pPr>
              <w:spacing w:line="360" w:lineRule="auto"/>
              <w:jc w:val="center"/>
              <w:rPr>
                <w:rFonts w:ascii="Arial" w:hAnsi="Arial" w:cs="Arial"/>
                <w:color w:val="333333"/>
              </w:rPr>
            </w:pPr>
            <w:proofErr w:type="spellStart"/>
            <w:r w:rsidRPr="004B0372">
              <w:rPr>
                <w:rStyle w:val="Strong"/>
                <w:rFonts w:ascii="Arial" w:hAnsi="Arial" w:cs="Arial"/>
                <w:color w:val="333333"/>
              </w:rPr>
              <w:t>Totals</w:t>
            </w:r>
            <w:proofErr w:type="spellEnd"/>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0" w:type="auto"/>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c>
          <w:tcPr>
            <w:tcW w:w="1968" w:type="dxa"/>
            <w:shd w:val="clear" w:color="auto" w:fill="E6E6F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Cases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1 752</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853</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464</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3 069</w:t>
            </w:r>
          </w:p>
        </w:tc>
      </w:tr>
      <w:tr w:rsidR="004B0372" w:rsidRPr="004B0372" w:rsidTr="004B0372">
        <w:tc>
          <w:tcPr>
            <w:tcW w:w="0" w:type="auto"/>
            <w:noWrap/>
            <w:tcMar>
              <w:top w:w="0" w:type="dxa"/>
              <w:left w:w="60" w:type="dxa"/>
              <w:bottom w:w="48" w:type="dxa"/>
              <w:right w:w="0" w:type="dxa"/>
            </w:tcMar>
            <w:hideMark/>
          </w:tcPr>
          <w:p w:rsidR="004B0372" w:rsidRPr="004B0372" w:rsidRDefault="004B0372">
            <w:pPr>
              <w:spacing w:line="360" w:lineRule="auto"/>
              <w:jc w:val="right"/>
              <w:rPr>
                <w:rFonts w:ascii="Arial" w:hAnsi="Arial" w:cs="Arial"/>
                <w:color w:val="333333"/>
              </w:rPr>
            </w:pPr>
            <w:proofErr w:type="spellStart"/>
            <w:r w:rsidRPr="004B0372">
              <w:rPr>
                <w:rFonts w:ascii="Arial" w:hAnsi="Arial" w:cs="Arial"/>
                <w:color w:val="333333"/>
              </w:rPr>
              <w:t>Deaths</w:t>
            </w:r>
            <w:proofErr w:type="spellEnd"/>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897</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477</w:t>
            </w:r>
          </w:p>
        </w:tc>
        <w:tc>
          <w:tcPr>
            <w:tcW w:w="0" w:type="auto"/>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178</w:t>
            </w:r>
          </w:p>
        </w:tc>
        <w:tc>
          <w:tcPr>
            <w:tcW w:w="1968" w:type="dxa"/>
            <w:noWrap/>
            <w:tcMar>
              <w:top w:w="0" w:type="dxa"/>
              <w:left w:w="60" w:type="dxa"/>
              <w:bottom w:w="48" w:type="dxa"/>
              <w:right w:w="0" w:type="dxa"/>
            </w:tcMar>
            <w:hideMark/>
          </w:tcPr>
          <w:p w:rsidR="004B0372" w:rsidRPr="004B0372" w:rsidRDefault="004B0372">
            <w:pPr>
              <w:spacing w:line="360" w:lineRule="auto"/>
              <w:jc w:val="center"/>
              <w:rPr>
                <w:rFonts w:ascii="Arial" w:hAnsi="Arial" w:cs="Arial"/>
                <w:color w:val="333333"/>
              </w:rPr>
            </w:pPr>
            <w:r w:rsidRPr="004B0372">
              <w:rPr>
                <w:rFonts w:ascii="Arial" w:hAnsi="Arial" w:cs="Arial"/>
                <w:color w:val="333333"/>
              </w:rPr>
              <w:t>1 552</w:t>
            </w:r>
          </w:p>
        </w:tc>
      </w:tr>
    </w:tbl>
    <w:p w:rsidR="004B0372" w:rsidRPr="004B0372" w:rsidRDefault="004B0372" w:rsidP="004B0372">
      <w:pPr>
        <w:pStyle w:val="NormalWeb"/>
        <w:spacing w:line="360" w:lineRule="auto"/>
        <w:rPr>
          <w:rFonts w:ascii="Arial" w:hAnsi="Arial" w:cs="Arial"/>
          <w:color w:val="333333"/>
          <w:sz w:val="22"/>
          <w:szCs w:val="22"/>
          <w:lang w:val="en-GB"/>
        </w:rPr>
      </w:pPr>
      <w:r w:rsidRPr="004B0372">
        <w:rPr>
          <w:rFonts w:ascii="Arial" w:hAnsi="Arial" w:cs="Arial"/>
          <w:color w:val="333333"/>
          <w:sz w:val="22"/>
          <w:szCs w:val="22"/>
          <w:lang w:val="en-GB"/>
        </w:rPr>
        <w:t xml:space="preserve">Note: Cases are classified as </w:t>
      </w:r>
      <w:r w:rsidRPr="004B0372">
        <w:rPr>
          <w:rStyle w:val="Strong"/>
          <w:rFonts w:ascii="Arial" w:hAnsi="Arial" w:cs="Arial"/>
          <w:color w:val="333333"/>
          <w:sz w:val="22"/>
          <w:szCs w:val="22"/>
          <w:lang w:val="en-GB"/>
        </w:rPr>
        <w:t>confirmed</w:t>
      </w:r>
      <w:r w:rsidRPr="004B0372">
        <w:rPr>
          <w:rFonts w:ascii="Arial" w:hAnsi="Arial" w:cs="Arial"/>
          <w:color w:val="333333"/>
          <w:sz w:val="22"/>
          <w:szCs w:val="22"/>
          <w:lang w:val="en-GB"/>
        </w:rPr>
        <w:t xml:space="preserve"> (any suspected or probable cases with a positive laboratory result); </w:t>
      </w:r>
      <w:r w:rsidRPr="004B0372">
        <w:rPr>
          <w:rStyle w:val="Strong"/>
          <w:rFonts w:ascii="Arial" w:hAnsi="Arial" w:cs="Arial"/>
          <w:color w:val="333333"/>
          <w:sz w:val="22"/>
          <w:szCs w:val="22"/>
          <w:lang w:val="en-GB"/>
        </w:rPr>
        <w:t>probable</w:t>
      </w:r>
      <w:r w:rsidRPr="004B0372">
        <w:rPr>
          <w:rFonts w:ascii="Arial" w:hAnsi="Arial" w:cs="Arial"/>
          <w:color w:val="333333"/>
          <w:sz w:val="22"/>
          <w:szCs w:val="22"/>
          <w:lang w:val="en-GB"/>
        </w:rPr>
        <w:t xml:space="preserve"> (any suspected case evaluated by a clinician, or any deceased suspected case having an epidemiological link with a confirmed case where it has not been possible to collect specimens for laboratory confirmation); or </w:t>
      </w:r>
      <w:r w:rsidRPr="004B0372">
        <w:rPr>
          <w:rStyle w:val="Strong"/>
          <w:rFonts w:ascii="Arial" w:hAnsi="Arial" w:cs="Arial"/>
          <w:color w:val="333333"/>
          <w:sz w:val="22"/>
          <w:szCs w:val="22"/>
          <w:lang w:val="en-GB"/>
        </w:rPr>
        <w:t>suspected</w:t>
      </w:r>
      <w:r w:rsidRPr="004B0372">
        <w:rPr>
          <w:rFonts w:ascii="Arial" w:hAnsi="Arial" w:cs="Arial"/>
          <w:color w:val="333333"/>
          <w:sz w:val="22"/>
          <w:szCs w:val="22"/>
          <w:lang w:val="en-GB"/>
        </w:rPr>
        <w:t xml:space="preserve"> (any person, alive or dead, suffering or having suffered from sudden onset of high fever and having had contact with: a suspected, probable or confirmed Ebola case, or a dead or sick animal; or any person with sudden onset of high fever and at least three of the following symptoms: headache, vomiting, anorexia/loss of appetite, diarrhoea, lethargy, stomach pain, aching muscles or joints, difficulty swallowing, breathing difficulties, or hiccup; or any person with unexplained bleeding; or any sudden, unexplained death).</w:t>
      </w:r>
    </w:p>
    <w:p w:rsidR="004B0372" w:rsidRPr="004B0372" w:rsidRDefault="004B0372" w:rsidP="004B0372">
      <w:pPr>
        <w:pStyle w:val="NormalWeb"/>
        <w:spacing w:line="360" w:lineRule="auto"/>
        <w:rPr>
          <w:rFonts w:ascii="Arial" w:hAnsi="Arial" w:cs="Arial"/>
          <w:color w:val="333333"/>
          <w:sz w:val="22"/>
          <w:szCs w:val="22"/>
          <w:lang w:val="en-GB"/>
        </w:rPr>
      </w:pPr>
      <w:r w:rsidRPr="004B0372">
        <w:rPr>
          <w:rFonts w:ascii="Arial" w:hAnsi="Arial" w:cs="Arial"/>
          <w:color w:val="333333"/>
          <w:sz w:val="22"/>
          <w:szCs w:val="22"/>
          <w:lang w:val="en-GB"/>
        </w:rPr>
        <w:t>The total number of cases is subject to change due to ongoing reclassification, retrospective investigation, and availability of laboratory results. Data reported in the Disease Outbreak News are based on official information reported by Ministries of Health.</w:t>
      </w:r>
    </w:p>
    <w:p w:rsidR="00765F57" w:rsidRPr="004B0372" w:rsidRDefault="00765F57" w:rsidP="004B0372">
      <w:pPr>
        <w:pStyle w:val="Heading1"/>
        <w:rPr>
          <w:sz w:val="22"/>
          <w:szCs w:val="22"/>
          <w:lang w:val="en-GB"/>
        </w:rPr>
      </w:pPr>
    </w:p>
    <w:sectPr w:rsidR="00765F57" w:rsidRPr="004B0372" w:rsidSect="00765F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518B"/>
    <w:multiLevelType w:val="hybridMultilevel"/>
    <w:tmpl w:val="FFC4A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296DB0"/>
    <w:multiLevelType w:val="multilevel"/>
    <w:tmpl w:val="7F5C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870EC0"/>
    <w:multiLevelType w:val="hybridMultilevel"/>
    <w:tmpl w:val="A19C76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3798"/>
    <w:rsid w:val="00246AFA"/>
    <w:rsid w:val="004B0372"/>
    <w:rsid w:val="004C4C22"/>
    <w:rsid w:val="00765F57"/>
    <w:rsid w:val="0086234F"/>
    <w:rsid w:val="00AA3798"/>
    <w:rsid w:val="00E54C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F57"/>
  </w:style>
  <w:style w:type="paragraph" w:styleId="Heading1">
    <w:name w:val="heading 1"/>
    <w:basedOn w:val="Normal"/>
    <w:link w:val="Heading1Char"/>
    <w:uiPriority w:val="9"/>
    <w:qFormat/>
    <w:rsid w:val="00AA3798"/>
    <w:pPr>
      <w:spacing w:after="120" w:line="288" w:lineRule="atLeast"/>
      <w:outlineLvl w:val="0"/>
    </w:pPr>
    <w:rPr>
      <w:rFonts w:ascii="Times New Roman" w:eastAsia="Times New Roman" w:hAnsi="Times New Roman" w:cs="Times New Roman"/>
      <w:b/>
      <w:bCs/>
      <w:color w:val="006699"/>
      <w:kern w:val="36"/>
      <w:sz w:val="34"/>
      <w:szCs w:val="3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98"/>
    <w:rPr>
      <w:rFonts w:ascii="Times New Roman" w:eastAsia="Times New Roman" w:hAnsi="Times New Roman" w:cs="Times New Roman"/>
      <w:b/>
      <w:bCs/>
      <w:color w:val="006699"/>
      <w:kern w:val="36"/>
      <w:sz w:val="34"/>
      <w:szCs w:val="34"/>
      <w:lang w:eastAsia="tr-TR"/>
    </w:rPr>
  </w:style>
  <w:style w:type="character" w:styleId="Hyperlink">
    <w:name w:val="Hyperlink"/>
    <w:basedOn w:val="DefaultParagraphFont"/>
    <w:uiPriority w:val="99"/>
    <w:unhideWhenUsed/>
    <w:rsid w:val="00AA3798"/>
    <w:rPr>
      <w:strike w:val="0"/>
      <w:dstrike w:val="0"/>
      <w:color w:val="006699"/>
      <w:u w:val="none"/>
      <w:effect w:val="none"/>
    </w:rPr>
  </w:style>
  <w:style w:type="character" w:styleId="Strong">
    <w:name w:val="Strong"/>
    <w:basedOn w:val="DefaultParagraphFont"/>
    <w:uiPriority w:val="22"/>
    <w:qFormat/>
    <w:rsid w:val="00AA3798"/>
    <w:rPr>
      <w:b/>
      <w:bCs/>
    </w:rPr>
  </w:style>
  <w:style w:type="paragraph" w:styleId="NormalWeb">
    <w:name w:val="Normal (Web)"/>
    <w:basedOn w:val="Normal"/>
    <w:uiPriority w:val="99"/>
    <w:semiHidden/>
    <w:unhideWhenUsed/>
    <w:rsid w:val="00AA3798"/>
    <w:pPr>
      <w:spacing w:before="240" w:after="240" w:line="240" w:lineRule="auto"/>
    </w:pPr>
    <w:rPr>
      <w:rFonts w:ascii="Times New Roman" w:eastAsia="Times New Roman" w:hAnsi="Times New Roman" w:cs="Times New Roman"/>
      <w:sz w:val="24"/>
      <w:szCs w:val="24"/>
      <w:lang w:eastAsia="tr-TR"/>
    </w:rPr>
  </w:style>
  <w:style w:type="character" w:customStyle="1" w:styleId="icon">
    <w:name w:val="icon"/>
    <w:basedOn w:val="DefaultParagraphFont"/>
    <w:rsid w:val="00AA3798"/>
  </w:style>
  <w:style w:type="paragraph" w:styleId="BalloonText">
    <w:name w:val="Balloon Text"/>
    <w:basedOn w:val="Normal"/>
    <w:link w:val="BalloonTextChar"/>
    <w:uiPriority w:val="99"/>
    <w:semiHidden/>
    <w:unhideWhenUsed/>
    <w:rsid w:val="00AA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98"/>
    <w:rPr>
      <w:rFonts w:ascii="Tahoma" w:hAnsi="Tahoma" w:cs="Tahoma"/>
      <w:sz w:val="16"/>
      <w:szCs w:val="16"/>
    </w:rPr>
  </w:style>
  <w:style w:type="paragraph" w:styleId="ListParagraph">
    <w:name w:val="List Paragraph"/>
    <w:basedOn w:val="Normal"/>
    <w:uiPriority w:val="34"/>
    <w:qFormat/>
    <w:rsid w:val="00AA3798"/>
    <w:pPr>
      <w:ind w:left="720"/>
      <w:contextualSpacing/>
    </w:pPr>
  </w:style>
</w:styles>
</file>

<file path=word/webSettings.xml><?xml version="1.0" encoding="utf-8"?>
<w:webSettings xmlns:r="http://schemas.openxmlformats.org/officeDocument/2006/relationships" xmlns:w="http://schemas.openxmlformats.org/wordprocessingml/2006/main">
  <w:divs>
    <w:div w:id="186456420">
      <w:bodyDiv w:val="1"/>
      <w:marLeft w:val="0"/>
      <w:marRight w:val="0"/>
      <w:marTop w:val="0"/>
      <w:marBottom w:val="0"/>
      <w:divBdr>
        <w:top w:val="none" w:sz="0" w:space="0" w:color="auto"/>
        <w:left w:val="none" w:sz="0" w:space="0" w:color="auto"/>
        <w:bottom w:val="none" w:sz="0" w:space="0" w:color="auto"/>
        <w:right w:val="none" w:sz="0" w:space="0" w:color="auto"/>
      </w:divBdr>
      <w:divsChild>
        <w:div w:id="283269573">
          <w:marLeft w:val="0"/>
          <w:marRight w:val="0"/>
          <w:marTop w:val="0"/>
          <w:marBottom w:val="0"/>
          <w:divBdr>
            <w:top w:val="none" w:sz="0" w:space="0" w:color="auto"/>
            <w:left w:val="none" w:sz="0" w:space="0" w:color="auto"/>
            <w:bottom w:val="none" w:sz="0" w:space="0" w:color="auto"/>
            <w:right w:val="none" w:sz="0" w:space="0" w:color="auto"/>
          </w:divBdr>
          <w:divsChild>
            <w:div w:id="1055466172">
              <w:marLeft w:val="0"/>
              <w:marRight w:val="0"/>
              <w:marTop w:val="0"/>
              <w:marBottom w:val="0"/>
              <w:divBdr>
                <w:top w:val="none" w:sz="0" w:space="0" w:color="auto"/>
                <w:left w:val="none" w:sz="0" w:space="0" w:color="auto"/>
                <w:bottom w:val="none" w:sz="0" w:space="0" w:color="auto"/>
                <w:right w:val="none" w:sz="0" w:space="0" w:color="auto"/>
              </w:divBdr>
              <w:divsChild>
                <w:div w:id="985745508">
                  <w:marLeft w:val="0"/>
                  <w:marRight w:val="0"/>
                  <w:marTop w:val="0"/>
                  <w:marBottom w:val="0"/>
                  <w:divBdr>
                    <w:top w:val="none" w:sz="0" w:space="0" w:color="auto"/>
                    <w:left w:val="none" w:sz="0" w:space="0" w:color="auto"/>
                    <w:bottom w:val="none" w:sz="0" w:space="0" w:color="auto"/>
                    <w:right w:val="none" w:sz="0" w:space="0" w:color="auto"/>
                  </w:divBdr>
                  <w:divsChild>
                    <w:div w:id="235743436">
                      <w:marLeft w:val="0"/>
                      <w:marRight w:val="0"/>
                      <w:marTop w:val="0"/>
                      <w:marBottom w:val="0"/>
                      <w:divBdr>
                        <w:top w:val="none" w:sz="0" w:space="0" w:color="auto"/>
                        <w:left w:val="none" w:sz="0" w:space="0" w:color="auto"/>
                        <w:bottom w:val="none" w:sz="0" w:space="0" w:color="auto"/>
                        <w:right w:val="none" w:sz="0" w:space="0" w:color="auto"/>
                      </w:divBdr>
                      <w:divsChild>
                        <w:div w:id="369914934">
                          <w:marLeft w:val="0"/>
                          <w:marRight w:val="0"/>
                          <w:marTop w:val="0"/>
                          <w:marBottom w:val="0"/>
                          <w:divBdr>
                            <w:top w:val="none" w:sz="0" w:space="0" w:color="auto"/>
                            <w:left w:val="none" w:sz="0" w:space="0" w:color="auto"/>
                            <w:bottom w:val="none" w:sz="0" w:space="0" w:color="auto"/>
                            <w:right w:val="none" w:sz="0" w:space="0" w:color="auto"/>
                          </w:divBdr>
                          <w:divsChild>
                            <w:div w:id="1459177237">
                              <w:marLeft w:val="0"/>
                              <w:marRight w:val="0"/>
                              <w:marTop w:val="0"/>
                              <w:marBottom w:val="0"/>
                              <w:divBdr>
                                <w:top w:val="none" w:sz="0" w:space="0" w:color="auto"/>
                                <w:left w:val="none" w:sz="0" w:space="0" w:color="auto"/>
                                <w:bottom w:val="none" w:sz="0" w:space="0" w:color="auto"/>
                                <w:right w:val="none" w:sz="0" w:space="0" w:color="auto"/>
                              </w:divBdr>
                              <w:divsChild>
                                <w:div w:id="11981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5065">
                          <w:marLeft w:val="0"/>
                          <w:marRight w:val="0"/>
                          <w:marTop w:val="0"/>
                          <w:marBottom w:val="0"/>
                          <w:divBdr>
                            <w:top w:val="none" w:sz="0" w:space="0" w:color="auto"/>
                            <w:left w:val="none" w:sz="0" w:space="0" w:color="auto"/>
                            <w:bottom w:val="none" w:sz="0" w:space="0" w:color="auto"/>
                            <w:right w:val="none" w:sz="0" w:space="0" w:color="auto"/>
                          </w:divBdr>
                        </w:div>
                        <w:div w:id="825517836">
                          <w:marLeft w:val="0"/>
                          <w:marRight w:val="0"/>
                          <w:marTop w:val="0"/>
                          <w:marBottom w:val="0"/>
                          <w:divBdr>
                            <w:top w:val="none" w:sz="0" w:space="0" w:color="auto"/>
                            <w:left w:val="none" w:sz="0" w:space="0" w:color="auto"/>
                            <w:bottom w:val="none" w:sz="0" w:space="0" w:color="auto"/>
                            <w:right w:val="none" w:sz="0" w:space="0" w:color="auto"/>
                          </w:divBdr>
                        </w:div>
                        <w:div w:id="1325813659">
                          <w:marLeft w:val="0"/>
                          <w:marRight w:val="0"/>
                          <w:marTop w:val="0"/>
                          <w:marBottom w:val="0"/>
                          <w:divBdr>
                            <w:top w:val="none" w:sz="0" w:space="0" w:color="auto"/>
                            <w:left w:val="none" w:sz="0" w:space="0" w:color="auto"/>
                            <w:bottom w:val="none" w:sz="0" w:space="0" w:color="auto"/>
                            <w:right w:val="none" w:sz="0" w:space="0" w:color="auto"/>
                          </w:divBdr>
                        </w:div>
                        <w:div w:id="426078782">
                          <w:marLeft w:val="0"/>
                          <w:marRight w:val="0"/>
                          <w:marTop w:val="0"/>
                          <w:marBottom w:val="0"/>
                          <w:divBdr>
                            <w:top w:val="none" w:sz="0" w:space="0" w:color="auto"/>
                            <w:left w:val="none" w:sz="0" w:space="0" w:color="auto"/>
                            <w:bottom w:val="none" w:sz="0" w:space="0" w:color="auto"/>
                            <w:right w:val="none" w:sz="0" w:space="0" w:color="auto"/>
                          </w:divBdr>
                        </w:div>
                        <w:div w:id="1660033083">
                          <w:marLeft w:val="0"/>
                          <w:marRight w:val="0"/>
                          <w:marTop w:val="0"/>
                          <w:marBottom w:val="0"/>
                          <w:divBdr>
                            <w:top w:val="none" w:sz="0" w:space="0" w:color="auto"/>
                            <w:left w:val="none" w:sz="0" w:space="0" w:color="auto"/>
                            <w:bottom w:val="none" w:sz="0" w:space="0" w:color="auto"/>
                            <w:right w:val="none" w:sz="0" w:space="0" w:color="auto"/>
                          </w:divBdr>
                        </w:div>
                        <w:div w:id="7906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83476">
      <w:bodyDiv w:val="1"/>
      <w:marLeft w:val="0"/>
      <w:marRight w:val="0"/>
      <w:marTop w:val="0"/>
      <w:marBottom w:val="0"/>
      <w:divBdr>
        <w:top w:val="none" w:sz="0" w:space="0" w:color="auto"/>
        <w:left w:val="none" w:sz="0" w:space="0" w:color="auto"/>
        <w:bottom w:val="none" w:sz="0" w:space="0" w:color="auto"/>
        <w:right w:val="none" w:sz="0" w:space="0" w:color="auto"/>
      </w:divBdr>
      <w:divsChild>
        <w:div w:id="1362128897">
          <w:marLeft w:val="0"/>
          <w:marRight w:val="0"/>
          <w:marTop w:val="0"/>
          <w:marBottom w:val="0"/>
          <w:divBdr>
            <w:top w:val="none" w:sz="0" w:space="0" w:color="auto"/>
            <w:left w:val="none" w:sz="0" w:space="0" w:color="auto"/>
            <w:bottom w:val="none" w:sz="0" w:space="0" w:color="auto"/>
            <w:right w:val="none" w:sz="0" w:space="0" w:color="auto"/>
          </w:divBdr>
          <w:divsChild>
            <w:div w:id="32537731">
              <w:marLeft w:val="0"/>
              <w:marRight w:val="0"/>
              <w:marTop w:val="0"/>
              <w:marBottom w:val="0"/>
              <w:divBdr>
                <w:top w:val="none" w:sz="0" w:space="0" w:color="auto"/>
                <w:left w:val="none" w:sz="0" w:space="0" w:color="auto"/>
                <w:bottom w:val="none" w:sz="0" w:space="0" w:color="auto"/>
                <w:right w:val="none" w:sz="0" w:space="0" w:color="auto"/>
              </w:divBdr>
              <w:divsChild>
                <w:div w:id="1807702723">
                  <w:marLeft w:val="0"/>
                  <w:marRight w:val="0"/>
                  <w:marTop w:val="0"/>
                  <w:marBottom w:val="0"/>
                  <w:divBdr>
                    <w:top w:val="none" w:sz="0" w:space="0" w:color="auto"/>
                    <w:left w:val="none" w:sz="0" w:space="0" w:color="auto"/>
                    <w:bottom w:val="none" w:sz="0" w:space="0" w:color="auto"/>
                    <w:right w:val="none" w:sz="0" w:space="0" w:color="auto"/>
                  </w:divBdr>
                  <w:divsChild>
                    <w:div w:id="176384060">
                      <w:marLeft w:val="0"/>
                      <w:marRight w:val="0"/>
                      <w:marTop w:val="0"/>
                      <w:marBottom w:val="0"/>
                      <w:divBdr>
                        <w:top w:val="none" w:sz="0" w:space="0" w:color="auto"/>
                        <w:left w:val="none" w:sz="0" w:space="0" w:color="auto"/>
                        <w:bottom w:val="none" w:sz="0" w:space="0" w:color="auto"/>
                        <w:right w:val="none" w:sz="0" w:space="0" w:color="auto"/>
                      </w:divBdr>
                      <w:divsChild>
                        <w:div w:id="1475174955">
                          <w:marLeft w:val="0"/>
                          <w:marRight w:val="0"/>
                          <w:marTop w:val="0"/>
                          <w:marBottom w:val="0"/>
                          <w:divBdr>
                            <w:top w:val="none" w:sz="0" w:space="0" w:color="auto"/>
                            <w:left w:val="none" w:sz="0" w:space="0" w:color="auto"/>
                            <w:bottom w:val="none" w:sz="0" w:space="0" w:color="auto"/>
                            <w:right w:val="none" w:sz="0" w:space="0" w:color="auto"/>
                          </w:divBdr>
                          <w:divsChild>
                            <w:div w:id="1793131489">
                              <w:marLeft w:val="0"/>
                              <w:marRight w:val="0"/>
                              <w:marTop w:val="0"/>
                              <w:marBottom w:val="0"/>
                              <w:divBdr>
                                <w:top w:val="none" w:sz="0" w:space="0" w:color="auto"/>
                                <w:left w:val="none" w:sz="0" w:space="0" w:color="auto"/>
                                <w:bottom w:val="none" w:sz="0" w:space="0" w:color="auto"/>
                                <w:right w:val="none" w:sz="0" w:space="0" w:color="auto"/>
                              </w:divBdr>
                              <w:divsChild>
                                <w:div w:id="21097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0097">
                          <w:marLeft w:val="0"/>
                          <w:marRight w:val="0"/>
                          <w:marTop w:val="0"/>
                          <w:marBottom w:val="0"/>
                          <w:divBdr>
                            <w:top w:val="none" w:sz="0" w:space="0" w:color="auto"/>
                            <w:left w:val="none" w:sz="0" w:space="0" w:color="auto"/>
                            <w:bottom w:val="none" w:sz="0" w:space="0" w:color="auto"/>
                            <w:right w:val="none" w:sz="0" w:space="0" w:color="auto"/>
                          </w:divBdr>
                        </w:div>
                        <w:div w:id="1920478202">
                          <w:marLeft w:val="0"/>
                          <w:marRight w:val="0"/>
                          <w:marTop w:val="0"/>
                          <w:marBottom w:val="0"/>
                          <w:divBdr>
                            <w:top w:val="none" w:sz="0" w:space="0" w:color="auto"/>
                            <w:left w:val="none" w:sz="0" w:space="0" w:color="auto"/>
                            <w:bottom w:val="none" w:sz="0" w:space="0" w:color="auto"/>
                            <w:right w:val="none" w:sz="0" w:space="0" w:color="auto"/>
                          </w:divBdr>
                        </w:div>
                        <w:div w:id="670331016">
                          <w:marLeft w:val="0"/>
                          <w:marRight w:val="0"/>
                          <w:marTop w:val="0"/>
                          <w:marBottom w:val="0"/>
                          <w:divBdr>
                            <w:top w:val="none" w:sz="0" w:space="0" w:color="auto"/>
                            <w:left w:val="none" w:sz="0" w:space="0" w:color="auto"/>
                            <w:bottom w:val="none" w:sz="0" w:space="0" w:color="auto"/>
                            <w:right w:val="none" w:sz="0" w:space="0" w:color="auto"/>
                          </w:divBdr>
                        </w:div>
                        <w:div w:id="679936705">
                          <w:marLeft w:val="0"/>
                          <w:marRight w:val="0"/>
                          <w:marTop w:val="0"/>
                          <w:marBottom w:val="0"/>
                          <w:divBdr>
                            <w:top w:val="none" w:sz="0" w:space="0" w:color="auto"/>
                            <w:left w:val="none" w:sz="0" w:space="0" w:color="auto"/>
                            <w:bottom w:val="none" w:sz="0" w:space="0" w:color="auto"/>
                            <w:right w:val="none" w:sz="0" w:space="0" w:color="auto"/>
                          </w:divBdr>
                        </w:div>
                        <w:div w:id="491607239">
                          <w:marLeft w:val="0"/>
                          <w:marRight w:val="0"/>
                          <w:marTop w:val="0"/>
                          <w:marBottom w:val="0"/>
                          <w:divBdr>
                            <w:top w:val="none" w:sz="0" w:space="0" w:color="auto"/>
                            <w:left w:val="none" w:sz="0" w:space="0" w:color="auto"/>
                            <w:bottom w:val="none" w:sz="0" w:space="0" w:color="auto"/>
                            <w:right w:val="none" w:sz="0" w:space="0" w:color="auto"/>
                          </w:divBdr>
                        </w:div>
                        <w:div w:id="19706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17474">
      <w:bodyDiv w:val="1"/>
      <w:marLeft w:val="0"/>
      <w:marRight w:val="0"/>
      <w:marTop w:val="0"/>
      <w:marBottom w:val="0"/>
      <w:divBdr>
        <w:top w:val="none" w:sz="0" w:space="0" w:color="auto"/>
        <w:left w:val="none" w:sz="0" w:space="0" w:color="auto"/>
        <w:bottom w:val="none" w:sz="0" w:space="0" w:color="auto"/>
        <w:right w:val="none" w:sz="0" w:space="0" w:color="auto"/>
      </w:divBdr>
      <w:divsChild>
        <w:div w:id="850417637">
          <w:marLeft w:val="0"/>
          <w:marRight w:val="0"/>
          <w:marTop w:val="0"/>
          <w:marBottom w:val="0"/>
          <w:divBdr>
            <w:top w:val="none" w:sz="0" w:space="0" w:color="auto"/>
            <w:left w:val="none" w:sz="0" w:space="0" w:color="auto"/>
            <w:bottom w:val="none" w:sz="0" w:space="0" w:color="auto"/>
            <w:right w:val="none" w:sz="0" w:space="0" w:color="auto"/>
          </w:divBdr>
          <w:divsChild>
            <w:div w:id="961227907">
              <w:marLeft w:val="0"/>
              <w:marRight w:val="0"/>
              <w:marTop w:val="0"/>
              <w:marBottom w:val="0"/>
              <w:divBdr>
                <w:top w:val="none" w:sz="0" w:space="0" w:color="auto"/>
                <w:left w:val="none" w:sz="0" w:space="0" w:color="auto"/>
                <w:bottom w:val="none" w:sz="0" w:space="0" w:color="auto"/>
                <w:right w:val="none" w:sz="0" w:space="0" w:color="auto"/>
              </w:divBdr>
              <w:divsChild>
                <w:div w:id="1462189175">
                  <w:marLeft w:val="0"/>
                  <w:marRight w:val="0"/>
                  <w:marTop w:val="0"/>
                  <w:marBottom w:val="0"/>
                  <w:divBdr>
                    <w:top w:val="none" w:sz="0" w:space="0" w:color="auto"/>
                    <w:left w:val="none" w:sz="0" w:space="0" w:color="auto"/>
                    <w:bottom w:val="none" w:sz="0" w:space="0" w:color="auto"/>
                    <w:right w:val="none" w:sz="0" w:space="0" w:color="auto"/>
                  </w:divBdr>
                  <w:divsChild>
                    <w:div w:id="1873301832">
                      <w:marLeft w:val="0"/>
                      <w:marRight w:val="0"/>
                      <w:marTop w:val="0"/>
                      <w:marBottom w:val="0"/>
                      <w:divBdr>
                        <w:top w:val="none" w:sz="0" w:space="0" w:color="auto"/>
                        <w:left w:val="none" w:sz="0" w:space="0" w:color="auto"/>
                        <w:bottom w:val="none" w:sz="0" w:space="0" w:color="auto"/>
                        <w:right w:val="none" w:sz="0" w:space="0" w:color="auto"/>
                      </w:divBdr>
                      <w:divsChild>
                        <w:div w:id="508566918">
                          <w:marLeft w:val="0"/>
                          <w:marRight w:val="0"/>
                          <w:marTop w:val="0"/>
                          <w:marBottom w:val="0"/>
                          <w:divBdr>
                            <w:top w:val="none" w:sz="0" w:space="0" w:color="auto"/>
                            <w:left w:val="none" w:sz="0" w:space="0" w:color="auto"/>
                            <w:bottom w:val="none" w:sz="0" w:space="0" w:color="auto"/>
                            <w:right w:val="none" w:sz="0" w:space="0" w:color="auto"/>
                          </w:divBdr>
                          <w:divsChild>
                            <w:div w:id="1067803736">
                              <w:marLeft w:val="0"/>
                              <w:marRight w:val="0"/>
                              <w:marTop w:val="0"/>
                              <w:marBottom w:val="0"/>
                              <w:divBdr>
                                <w:top w:val="none" w:sz="0" w:space="0" w:color="auto"/>
                                <w:left w:val="none" w:sz="0" w:space="0" w:color="auto"/>
                                <w:bottom w:val="none" w:sz="0" w:space="0" w:color="auto"/>
                                <w:right w:val="none" w:sz="0" w:space="0" w:color="auto"/>
                              </w:divBdr>
                              <w:divsChild>
                                <w:div w:id="12049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6817">
                          <w:marLeft w:val="0"/>
                          <w:marRight w:val="0"/>
                          <w:marTop w:val="0"/>
                          <w:marBottom w:val="0"/>
                          <w:divBdr>
                            <w:top w:val="none" w:sz="0" w:space="0" w:color="auto"/>
                            <w:left w:val="none" w:sz="0" w:space="0" w:color="auto"/>
                            <w:bottom w:val="none" w:sz="0" w:space="0" w:color="auto"/>
                            <w:right w:val="none" w:sz="0" w:space="0" w:color="auto"/>
                          </w:divBdr>
                        </w:div>
                        <w:div w:id="2018145713">
                          <w:marLeft w:val="0"/>
                          <w:marRight w:val="0"/>
                          <w:marTop w:val="0"/>
                          <w:marBottom w:val="0"/>
                          <w:divBdr>
                            <w:top w:val="none" w:sz="0" w:space="0" w:color="auto"/>
                            <w:left w:val="none" w:sz="0" w:space="0" w:color="auto"/>
                            <w:bottom w:val="none" w:sz="0" w:space="0" w:color="auto"/>
                            <w:right w:val="none" w:sz="0" w:space="0" w:color="auto"/>
                          </w:divBdr>
                        </w:div>
                        <w:div w:id="1023819738">
                          <w:marLeft w:val="0"/>
                          <w:marRight w:val="0"/>
                          <w:marTop w:val="0"/>
                          <w:marBottom w:val="0"/>
                          <w:divBdr>
                            <w:top w:val="none" w:sz="0" w:space="0" w:color="auto"/>
                            <w:left w:val="none" w:sz="0" w:space="0" w:color="auto"/>
                            <w:bottom w:val="none" w:sz="0" w:space="0" w:color="auto"/>
                            <w:right w:val="none" w:sz="0" w:space="0" w:color="auto"/>
                          </w:divBdr>
                        </w:div>
                        <w:div w:id="5597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ho.int/entity/mediacentre/news/statements/2014/ebola-20140808/en/index.html" TargetMode="External"/><Relationship Id="rId5" Type="http://schemas.openxmlformats.org/officeDocument/2006/relationships/hyperlink" Target="http://who.int/csr/don/2014_08_27_ebola/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MFA</cp:lastModifiedBy>
  <cp:revision>6</cp:revision>
  <dcterms:created xsi:type="dcterms:W3CDTF">2014-08-13T22:36:00Z</dcterms:created>
  <dcterms:modified xsi:type="dcterms:W3CDTF">2014-08-28T20:10:00Z</dcterms:modified>
</cp:coreProperties>
</file>